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31DCD4BD" w:rsidR="00B123FF" w:rsidRPr="00455A3C" w:rsidRDefault="00BA7C33" w:rsidP="00F60A53">
      <w:pPr>
        <w:pStyle w:val="F2-zkladn"/>
        <w:spacing w:line="276" w:lineRule="auto"/>
        <w:rPr>
          <w:b/>
          <w:sz w:val="28"/>
          <w:szCs w:val="28"/>
        </w:rPr>
      </w:pPr>
      <w:r>
        <w:rPr>
          <w:b/>
          <w:sz w:val="28"/>
          <w:szCs w:val="28"/>
        </w:rPr>
        <w:t>ANALÝZA</w:t>
      </w:r>
    </w:p>
    <w:p w14:paraId="59F979EF" w14:textId="25BDCBAD"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DC6F6A7">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9BF1F9"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C0EE610"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6B23896">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B091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E50140">
        <w:t>24</w:t>
      </w:r>
      <w:r w:rsidR="005420B4" w:rsidRPr="00893890">
        <w:t>.</w:t>
      </w:r>
      <w:r w:rsidR="00296EFF">
        <w:t xml:space="preserve"> </w:t>
      </w:r>
      <w:r w:rsidR="00EB4F26">
        <w:t xml:space="preserve">května </w:t>
      </w:r>
      <w:r w:rsidR="00A30105" w:rsidRPr="00893890">
        <w:t>20</w:t>
      </w:r>
      <w:r w:rsidR="00A7414F" w:rsidRPr="00893890">
        <w:t>2</w:t>
      </w:r>
      <w:r w:rsidR="00CB6DEB">
        <w:t>4</w:t>
      </w:r>
    </w:p>
    <w:p w14:paraId="7EECF1EA" w14:textId="24D140E2" w:rsidR="002027ED" w:rsidRPr="002027ED" w:rsidRDefault="002027ED" w:rsidP="002027ED">
      <w:pPr>
        <w:pStyle w:val="F2-zkladn"/>
        <w:tabs>
          <w:tab w:val="right" w:pos="9070"/>
        </w:tabs>
        <w:spacing w:line="276" w:lineRule="auto"/>
      </w:pPr>
    </w:p>
    <w:p w14:paraId="2E78882E" w14:textId="4F14701B"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E50140">
        <w:rPr>
          <w:rStyle w:val="normaltextrun"/>
          <w:rFonts w:ascii="Arial" w:hAnsi="Arial" w:cs="Arial"/>
          <w:b/>
          <w:bCs/>
          <w:color w:val="000000"/>
          <w:sz w:val="28"/>
          <w:szCs w:val="28"/>
          <w:lang w:val="cs-CZ"/>
        </w:rPr>
        <w:t>Hodnotové akcie hledejte v Evropě, ne v USA</w:t>
      </w:r>
    </w:p>
    <w:p w14:paraId="3E77B751" w14:textId="621CEE17" w:rsidR="00C7546F" w:rsidRPr="00C7546F" w:rsidRDefault="00E50140"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Evropa má mnohem větší zásobu akcií, které se v současné době obchodují na zajímavějších násobcích než jejich americké protějšky. </w:t>
      </w:r>
    </w:p>
    <w:p w14:paraId="150D9A55" w14:textId="4FDE7B96" w:rsidR="007F1028" w:rsidRDefault="00E50140" w:rsidP="007F1028">
      <w:pPr>
        <w:spacing w:after="210" w:line="360" w:lineRule="auto"/>
        <w:rPr>
          <w:color w:val="20242B"/>
          <w:shd w:val="clear" w:color="auto" w:fill="FFFFFF"/>
        </w:rPr>
      </w:pPr>
      <w:r>
        <w:rPr>
          <w:color w:val="20242B"/>
          <w:shd w:val="clear" w:color="auto" w:fill="FFFFFF"/>
        </w:rPr>
        <w:t xml:space="preserve">Poselství tohoto týdne je jednoduché. Pokud hledáte hodnotové akcie, Evropa je nyní mnohem lepším lovištěm než USA. </w:t>
      </w:r>
    </w:p>
    <w:p w14:paraId="76D181A9" w14:textId="1992518D" w:rsidR="000B040E" w:rsidRDefault="000B040E" w:rsidP="000B040E">
      <w:pPr>
        <w:pStyle w:val="F2-zkladn"/>
        <w:rPr>
          <w:rFonts w:asciiTheme="minorHAnsi" w:hAnsiTheme="minorHAnsi" w:cstheme="minorHAnsi"/>
          <w:b/>
          <w:bCs/>
          <w:sz w:val="24"/>
          <w:szCs w:val="24"/>
        </w:rPr>
      </w:pPr>
      <w:r w:rsidRPr="000B040E">
        <w:rPr>
          <w:noProof/>
        </w:rPr>
        <w:drawing>
          <wp:anchor distT="0" distB="0" distL="114300" distR="114300" simplePos="0" relativeHeight="251658240" behindDoc="0" locked="0" layoutInCell="1" allowOverlap="1" wp14:anchorId="5A82A7F4" wp14:editId="507DBF24">
            <wp:simplePos x="0" y="0"/>
            <wp:positionH relativeFrom="column">
              <wp:posOffset>-46990</wp:posOffset>
            </wp:positionH>
            <wp:positionV relativeFrom="paragraph">
              <wp:posOffset>341630</wp:posOffset>
            </wp:positionV>
            <wp:extent cx="5759450" cy="4618355"/>
            <wp:effectExtent l="0" t="0" r="0" b="0"/>
            <wp:wrapSquare wrapText="bothSides"/>
            <wp:docPr id="120527028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70282"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461835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4"/>
          <w:szCs w:val="24"/>
        </w:rPr>
        <w:t>Graf: Rozdělení akcií podle poměru ceny a zisku</w:t>
      </w:r>
    </w:p>
    <w:p w14:paraId="1EF1197F" w14:textId="6785A088" w:rsidR="000B040E" w:rsidRPr="000B040E" w:rsidRDefault="000B040E" w:rsidP="000B040E">
      <w:pPr>
        <w:pStyle w:val="F2-zkladn"/>
      </w:pPr>
    </w:p>
    <w:p w14:paraId="6D7C1EF3" w14:textId="7A90A18B" w:rsidR="00B62948" w:rsidRDefault="00E50140" w:rsidP="00E50140">
      <w:pPr>
        <w:spacing w:after="210" w:line="360" w:lineRule="auto"/>
        <w:rPr>
          <w:color w:val="20242B"/>
          <w:shd w:val="clear" w:color="auto" w:fill="FFFFFF"/>
        </w:rPr>
      </w:pPr>
      <w:r>
        <w:rPr>
          <w:color w:val="20242B"/>
          <w:shd w:val="clear" w:color="auto" w:fill="FFFFFF"/>
        </w:rPr>
        <w:lastRenderedPageBreak/>
        <w:t xml:space="preserve">Vzestup </w:t>
      </w:r>
      <w:r w:rsidRPr="00E50140">
        <w:rPr>
          <w:color w:val="20242B"/>
          <w:shd w:val="clear" w:color="auto" w:fill="FFFFFF"/>
        </w:rPr>
        <w:t xml:space="preserve">„velké sedmy“ v USA s sebou strhl mnoho z 493 dalších (méně velkolepých) akcií v indexu S&amp;P 500 a navýšil jejich ocenění. Evropa má přitom svou vlastní verzi „velké sedmy“, nazývanou „sedm divů“, které tvoří </w:t>
      </w:r>
      <w:proofErr w:type="spellStart"/>
      <w:r w:rsidRPr="00E50140">
        <w:rPr>
          <w:color w:val="20242B"/>
          <w:shd w:val="clear" w:color="auto" w:fill="FFFFFF"/>
        </w:rPr>
        <w:t>Hermès</w:t>
      </w:r>
      <w:proofErr w:type="spellEnd"/>
      <w:r w:rsidRPr="00E50140">
        <w:rPr>
          <w:color w:val="20242B"/>
          <w:shd w:val="clear" w:color="auto" w:fill="FFFFFF"/>
        </w:rPr>
        <w:t xml:space="preserve">, Novo </w:t>
      </w:r>
      <w:proofErr w:type="spellStart"/>
      <w:r w:rsidRPr="00E50140">
        <w:rPr>
          <w:color w:val="20242B"/>
          <w:shd w:val="clear" w:color="auto" w:fill="FFFFFF"/>
        </w:rPr>
        <w:t>Nordisk</w:t>
      </w:r>
      <w:proofErr w:type="spellEnd"/>
      <w:r w:rsidRPr="00E50140">
        <w:rPr>
          <w:color w:val="20242B"/>
          <w:shd w:val="clear" w:color="auto" w:fill="FFFFFF"/>
        </w:rPr>
        <w:t>, Siemens, LVMH, SAP, ASML a Schneider Electric. Když tato sedmička, stejně jako její americké protějšky, překonala širší trh, tak její úspěch se na ostatních akciích neprojevil.</w:t>
      </w:r>
    </w:p>
    <w:p w14:paraId="2901E2CE" w14:textId="6D0DEACF" w:rsidR="007F1028" w:rsidRPr="00E50140" w:rsidRDefault="00E50140" w:rsidP="00E50140">
      <w:pPr>
        <w:spacing w:after="210" w:line="360" w:lineRule="auto"/>
        <w:rPr>
          <w:color w:val="20242B"/>
          <w:shd w:val="clear" w:color="auto" w:fill="FFFFFF"/>
        </w:rPr>
      </w:pPr>
      <w:r w:rsidRPr="00E50140">
        <w:rPr>
          <w:color w:val="20242B"/>
          <w:shd w:val="clear" w:color="auto" w:fill="FFFFFF"/>
        </w:rPr>
        <w:t xml:space="preserve">Výsledkem je, že index S&amp;P 500 má mnohem více akcií s poměrem ceny k zisku (PE) nad 30 než index MSCI </w:t>
      </w:r>
      <w:proofErr w:type="spellStart"/>
      <w:r w:rsidRPr="00E50140">
        <w:rPr>
          <w:color w:val="20242B"/>
          <w:shd w:val="clear" w:color="auto" w:fill="FFFFFF"/>
        </w:rPr>
        <w:t>Europe</w:t>
      </w:r>
      <w:proofErr w:type="spellEnd"/>
      <w:r w:rsidRPr="00E50140">
        <w:rPr>
          <w:color w:val="20242B"/>
          <w:shd w:val="clear" w:color="auto" w:fill="FFFFFF"/>
        </w:rPr>
        <w:t>. Ten má naopak mnohem více akcií s poměrem PE nižším než 10.</w:t>
      </w:r>
    </w:p>
    <w:p w14:paraId="7DD1B43C" w14:textId="77777777" w:rsidR="00E50140" w:rsidRDefault="00E50140" w:rsidP="00E50140">
      <w:pPr>
        <w:spacing w:after="210" w:line="360" w:lineRule="auto"/>
        <w:rPr>
          <w:color w:val="20242B"/>
          <w:shd w:val="clear" w:color="auto" w:fill="FFFFFF"/>
        </w:rPr>
      </w:pPr>
      <w:r w:rsidRPr="00E50140">
        <w:rPr>
          <w:color w:val="20242B"/>
          <w:shd w:val="clear" w:color="auto" w:fill="FFFFFF"/>
        </w:rPr>
        <w:t>Obchodování s nízkým PE ratiem samozřejmě nemusí nutně znamenat, že akcie má správnou hodnotu. Zisky mohou být cyklicky nadsazené, konverze hotovosti může být špatná, rozvaha může být v nepořádku. Ale u téměř 200 společností, které se obchodují na méně než 15násobku výnosu, opravdu můžete najít rozumný počet společností, které jsou nejen levné, ale mají i dobré fundamenty. Vypadají také dobře připravené na období, kdy se očekává, že měnová politika zůstane relativně utažená.</w:t>
      </w:r>
    </w:p>
    <w:p w14:paraId="5D77E00B" w14:textId="1D4F5209" w:rsidR="000B040E" w:rsidRDefault="000B040E" w:rsidP="000B040E">
      <w:pPr>
        <w:spacing w:line="360" w:lineRule="auto"/>
        <w:rPr>
          <w:color w:val="20242B"/>
          <w:shd w:val="clear" w:color="auto" w:fill="FFFFFF"/>
        </w:rPr>
      </w:pPr>
      <w:r w:rsidRPr="000B040E">
        <w:rPr>
          <w:color w:val="20242B"/>
          <w:shd w:val="clear" w:color="auto" w:fill="FFFFFF"/>
        </w:rPr>
        <w:t>Sem patří levnější cyklické spotřební zboží, které přímo těží z růstu mezd, stejně jako některé základní spotřební zboží v oblasti obrany. Levně vypadá i několik finančních titulů, které by si měly udržet ziskovost, dokud neklesnou úrokové sazby. Existuje také několik technologických akcií, u nichž se začíná zrychlovat růst zisku na akcii</w:t>
      </w:r>
      <w:r>
        <w:rPr>
          <w:color w:val="20242B"/>
          <w:shd w:val="clear" w:color="auto" w:fill="FFFFFF"/>
        </w:rPr>
        <w:t>,</w:t>
      </w:r>
      <w:r w:rsidRPr="000B040E">
        <w:rPr>
          <w:color w:val="20242B"/>
          <w:shd w:val="clear" w:color="auto" w:fill="FFFFFF"/>
        </w:rPr>
        <w:t xml:space="preserve"> a které jsou stále rozumně oceněny. Může být příjemné vlastnit akcie, které všichni </w:t>
      </w:r>
      <w:proofErr w:type="spellStart"/>
      <w:r w:rsidRPr="000B040E">
        <w:rPr>
          <w:color w:val="20242B"/>
          <w:shd w:val="clear" w:color="auto" w:fill="FFFFFF"/>
        </w:rPr>
        <w:t>influenceři</w:t>
      </w:r>
      <w:proofErr w:type="spellEnd"/>
      <w:r w:rsidRPr="000B040E">
        <w:rPr>
          <w:color w:val="20242B"/>
          <w:shd w:val="clear" w:color="auto" w:fill="FFFFFF"/>
        </w:rPr>
        <w:t xml:space="preserve"> prohlašují za „skvělé“ nebo „úžasné“. Skutečné skvosty se však nacházejí jinde.</w:t>
      </w: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w:t>
      </w:r>
      <w:r w:rsidRPr="00D404D5">
        <w:rPr>
          <w:color w:val="000000"/>
          <w:lang w:eastAsia="en-US"/>
        </w:rPr>
        <w:lastRenderedPageBreak/>
        <w:t>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w:t>
      </w:r>
      <w:r>
        <w:lastRenderedPageBreak/>
        <w:t xml:space="preserve">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44F97904" w14:textId="6801D12C" w:rsidR="002C6623" w:rsidRDefault="002C6623" w:rsidP="002027ED">
      <w:pPr>
        <w:pStyle w:val="F2-zkladn"/>
      </w:pPr>
      <w:r w:rsidRPr="002C6623">
        <w:t>MKAT12248</w:t>
      </w:r>
    </w:p>
    <w:sectPr w:rsidR="002C6623"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59FEC" w14:textId="77777777" w:rsidR="00D01D27" w:rsidRDefault="00D01D27">
      <w:r>
        <w:separator/>
      </w:r>
    </w:p>
  </w:endnote>
  <w:endnote w:type="continuationSeparator" w:id="0">
    <w:p w14:paraId="27F882AB" w14:textId="77777777" w:rsidR="00D01D27" w:rsidRDefault="00D0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79BF0" w14:textId="77777777" w:rsidR="00D01D27" w:rsidRDefault="00D01D27">
      <w:r>
        <w:separator/>
      </w:r>
    </w:p>
  </w:footnote>
  <w:footnote w:type="continuationSeparator" w:id="0">
    <w:p w14:paraId="766D338D" w14:textId="77777777" w:rsidR="00D01D27" w:rsidRDefault="00D01D27">
      <w:r>
        <w:continuationSeparator/>
      </w:r>
    </w:p>
  </w:footnote>
  <w:footnote w:type="continuationNotice" w:id="1">
    <w:p w14:paraId="2D26A248" w14:textId="77777777" w:rsidR="00D01D27" w:rsidRDefault="00D0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40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23"/>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30A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3085"/>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6DEC"/>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1D27"/>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3493"/>
    <w:rsid w:val="00D74098"/>
    <w:rsid w:val="00D74264"/>
    <w:rsid w:val="00D749C9"/>
    <w:rsid w:val="00D74DEF"/>
    <w:rsid w:val="00D777C4"/>
    <w:rsid w:val="00D8102F"/>
    <w:rsid w:val="00D81213"/>
    <w:rsid w:val="00D81C1F"/>
    <w:rsid w:val="00D83636"/>
    <w:rsid w:val="00D85F98"/>
    <w:rsid w:val="00D86455"/>
    <w:rsid w:val="00D869C3"/>
    <w:rsid w:val="00D905D5"/>
    <w:rsid w:val="00D91AE1"/>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0140"/>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46BA5"/>
    <w:rsid w:val="00F50086"/>
    <w:rsid w:val="00F50497"/>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6101</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7120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2024-05-24T09:03:00Z</dcterms:created>
  <dcterms:modified xsi:type="dcterms:W3CDTF">2024-05-24T09:27:00Z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